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7E" w:rsidRPr="0032107E" w:rsidRDefault="00074731" w:rsidP="0007473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2107E" w:rsidRPr="0032107E">
        <w:rPr>
          <w:rFonts w:ascii="Times New Roman" w:hAnsi="Times New Roman" w:cs="Times New Roman"/>
          <w:sz w:val="28"/>
          <w:szCs w:val="28"/>
        </w:rPr>
        <w:t>коммунальной услуге по обращению с твердыми коммунальными отходами</w:t>
      </w:r>
    </w:p>
    <w:p w:rsidR="0032107E" w:rsidRPr="0032107E" w:rsidRDefault="0032107E" w:rsidP="0007473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на территории Владимирской области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Твердые коммунальные отходы (далее - ТКО) - это отходы, которые образуются людьми в процессе потребления, а также товары, утратившие свои потребительские свойства в процессе их использования населением в жилых помещениях в целях удовлетворения личных и бытовых нужд, а также подобные отходы, образующиеся в процессе деятельности организаций.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На территории Владимирской области исполнено Федеральное законодательство, осуществлен переход на новую систему обращения с твердыми коммунальными отходами.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В регионе оказывают услуги в сфере обращения с ТКО три региональных оператора: ООО «Хартия» (зона №1: Александровский, Киржачский, Кольчугинский, Петушинский, Собинский и Юрьев-Польский районы), ООО «Биотехнологии» (зона №2: г. Владимир, г. Ковров и ЗАТО г.Радужный, Вязниковский, Гороховецкий, Камешковский, Ковровский, Судогодский и Суздальский районы ), ООО «Эко-транс» (зона №3: о. Муром, г. Гусь- Хрустальный и Муромский, Гусь-Хрустальный, Меленковский и Селивановский районы).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 xml:space="preserve">Если ранее данная услуга была жилищной и расходы на вывоз мусора определялись договорными </w:t>
      </w:r>
      <w:r w:rsidR="00074731" w:rsidRPr="0032107E">
        <w:rPr>
          <w:rFonts w:ascii="Times New Roman" w:hAnsi="Times New Roman" w:cs="Times New Roman"/>
          <w:sz w:val="28"/>
          <w:szCs w:val="28"/>
        </w:rPr>
        <w:t>отношениями</w:t>
      </w:r>
      <w:r w:rsidRPr="0032107E">
        <w:rPr>
          <w:rFonts w:ascii="Times New Roman" w:hAnsi="Times New Roman" w:cs="Times New Roman"/>
          <w:sz w:val="28"/>
          <w:szCs w:val="28"/>
        </w:rPr>
        <w:t>, явно не отражались в платежном документе, являлись частью платы за содержание жилого помещения, то теперь она приобрела статус коммунальной и регулируется в части начислений Правилами предоставления коммунальных услуг собственникам и пользователям жилых помещений в многоквартирном доме и жилом доме, утвержденными постановлением Правительства Российской Федерации от 06.05.2013 № 354 (далее -Правила).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Размер платы за коммунальную услугу по обращению с ТКО рассчитывается как произведение количества зарегистрированных граждан, постоянно и временно проживающих в жилом помещении (при их отсутствии - количества собственников), норматива накопления ТКО и тарифа по обращению с ТКО.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Очевидно, что введение новой системы платежей - основная причина изменения платы за услугу в сфере обращения с ТКО.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 xml:space="preserve">Новые нормативы накопления ТКО установлены департаментом природопользования и охраны окружающей среды администрации области от 22.01.2018 № 05/01-25 для городского населения в многоквартирных домах 2,44 куб.м на человека в год, в индивидуальных домовладениях - 2,55 куб.м на человека в год, в сельских поселениях соответственно - 2,38 куб.м и 2,23 куб.м. При этом в ТКО предусмотрено 15% крупногабаритного мусора, который подлежит вывозу региональным оператором в рамках установленного единого тарифа на услугу по обращению с ТКО. Это мебель, бытовая техника, отходы от текущего ремонта жилых помещений (но не капитального) и другой мусор, размер которого не позволяет осуществить его складирование в контейнерах. Поэтому накопление </w:t>
      </w:r>
      <w:r w:rsidRPr="0032107E">
        <w:rPr>
          <w:rFonts w:ascii="Times New Roman" w:hAnsi="Times New Roman" w:cs="Times New Roman"/>
          <w:sz w:val="28"/>
          <w:szCs w:val="28"/>
        </w:rPr>
        <w:lastRenderedPageBreak/>
        <w:t>такого мусора происходит в бункерах, расположенных на контейнерных и специальных площадках.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Предельные единые тарифы на услуги региональных операторов по обращению с ТКО установлены органом регулирования тарифов- департаментом цен и тарифов администрации Владимирской области (далее - департамент) с учетом экспертизы экономической обоснованности расходов.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В составе необходимой валовой выручки региональных операторов учтены экономически обоснованные расходы, связанные со сбором и вывозом, сортировкой, захоронением ТКО, заключением договоров и обслуживанием лицевых счетов потребителей.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Общий объем согласованной валовой выручки принят по всем трем региональным операторам в сумме 1788,45 млн.руб. Из тарифных предложений региональных операторов исключено 1452,9 млн.руб. экономически необоснованных расходов.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Разность в ценовых ставках региональных операторов обусловлена различными технико-экономическими факторами деятельности: количество объектов захоронения к приближённость к местам наибольшего образования ТКО, наличие объектов по обработке ТКО, техническими характеристиками используемой техники в процессе сбора и вывоза ТКО (коэффициент уплотнения ТКО).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Например, в зоне № 3 (региональный оператор ООО «Эко-Транс» самое длинное транспортное плечо по вывозу ТКО (г. Гусь-Хрустальный и Гусь- Хрустальный район - 240 км до объекта захоронения).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В самом низком тарифе на ТКО в зоне № 1 (региональный оператор «Хартия») учитывается размещение ТКО на 5 объектах по захоронению - это самое большое количество, в зонах № 2 и № 3 по 2 объекта. Соответс</w:t>
      </w:r>
      <w:r w:rsidR="005B3EF3">
        <w:rPr>
          <w:rFonts w:ascii="Times New Roman" w:hAnsi="Times New Roman" w:cs="Times New Roman"/>
          <w:sz w:val="28"/>
          <w:szCs w:val="28"/>
        </w:rPr>
        <w:t>твенно, стоимость по сбору и выв</w:t>
      </w:r>
      <w:r w:rsidRPr="0032107E">
        <w:rPr>
          <w:rFonts w:ascii="Times New Roman" w:hAnsi="Times New Roman" w:cs="Times New Roman"/>
          <w:sz w:val="28"/>
          <w:szCs w:val="28"/>
        </w:rPr>
        <w:t>озу ТКО по зоне № 1 самая низкая и составляет по рас</w:t>
      </w:r>
      <w:r w:rsidR="005B3EF3">
        <w:rPr>
          <w:rFonts w:ascii="Times New Roman" w:hAnsi="Times New Roman" w:cs="Times New Roman"/>
          <w:sz w:val="28"/>
          <w:szCs w:val="28"/>
        </w:rPr>
        <w:t>чету департамента 242,60 руб./м</w:t>
      </w:r>
      <w:r w:rsidR="005B3EF3" w:rsidRPr="005B3E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107E">
        <w:rPr>
          <w:rFonts w:ascii="Times New Roman" w:hAnsi="Times New Roman" w:cs="Times New Roman"/>
          <w:sz w:val="28"/>
          <w:szCs w:val="28"/>
        </w:rPr>
        <w:t>, в зоне № 2 - 339,32 руб./м</w:t>
      </w:r>
      <w:r w:rsidR="005B3EF3" w:rsidRPr="003F1D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107E">
        <w:rPr>
          <w:rFonts w:ascii="Times New Roman" w:hAnsi="Times New Roman" w:cs="Times New Roman"/>
          <w:sz w:val="28"/>
          <w:szCs w:val="28"/>
        </w:rPr>
        <w:t>, зоне № 3 - 425,02 руб./м</w:t>
      </w:r>
      <w:r w:rsidR="003F1DCC" w:rsidRPr="003F1D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107E">
        <w:rPr>
          <w:rFonts w:ascii="Times New Roman" w:hAnsi="Times New Roman" w:cs="Times New Roman"/>
          <w:sz w:val="28"/>
          <w:szCs w:val="28"/>
        </w:rPr>
        <w:t>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Установленные региональным операторам тарифы рассчитывались на фактический объем образования ТКО с учетом динамики за последние три года. В тарифах предусматривался ежедневный вывоз ТКО исходя из критерия вывоза по</w:t>
      </w:r>
      <w:r w:rsidR="003F1DCC">
        <w:rPr>
          <w:rFonts w:ascii="Times New Roman" w:hAnsi="Times New Roman" w:cs="Times New Roman"/>
          <w:sz w:val="28"/>
          <w:szCs w:val="28"/>
        </w:rPr>
        <w:t>лно</w:t>
      </w:r>
      <w:r w:rsidR="006F62EB">
        <w:rPr>
          <w:rFonts w:ascii="Times New Roman" w:hAnsi="Times New Roman" w:cs="Times New Roman"/>
          <w:sz w:val="28"/>
          <w:szCs w:val="28"/>
        </w:rPr>
        <w:t xml:space="preserve">стью наполненного контейнера. </w:t>
      </w:r>
      <w:r w:rsidRPr="0032107E">
        <w:rPr>
          <w:rFonts w:ascii="Times New Roman" w:hAnsi="Times New Roman" w:cs="Times New Roman"/>
          <w:sz w:val="28"/>
          <w:szCs w:val="28"/>
        </w:rPr>
        <w:t>В результате по оценкам экспертов департамента ежедневному вывозу на территории зоны № 2 подлежит 5 238 единиц контейнеров.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 xml:space="preserve">Вместе с тем по данным по данным ОМС оснащенность контейнерами по зоне </w:t>
      </w:r>
      <w:r w:rsidR="003F1DCC">
        <w:rPr>
          <w:rFonts w:ascii="Times New Roman" w:hAnsi="Times New Roman" w:cs="Times New Roman"/>
          <w:sz w:val="28"/>
          <w:szCs w:val="28"/>
        </w:rPr>
        <w:t>№</w:t>
      </w:r>
      <w:r w:rsidRPr="0032107E">
        <w:rPr>
          <w:rFonts w:ascii="Times New Roman" w:hAnsi="Times New Roman" w:cs="Times New Roman"/>
          <w:sz w:val="28"/>
          <w:szCs w:val="28"/>
        </w:rPr>
        <w:t>2 по состоянию на 01.10.2019 оценивалась в количестве 10 592 ед., по данным территориальной схемы - 8 521 ед.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Таким образом, периодичность вывоза одного контейнера по зоне № 2 будет складываться в среднем от 2,3 суток до 1,6 суток.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 xml:space="preserve">В случае, если по факту отчетного периода (2020 год) фактические расходы региональных операторов сложатся ниже полученной товарной выручки, избыточно </w:t>
      </w:r>
      <w:r w:rsidRPr="0032107E">
        <w:rPr>
          <w:rFonts w:ascii="Times New Roman" w:hAnsi="Times New Roman" w:cs="Times New Roman"/>
          <w:sz w:val="28"/>
          <w:szCs w:val="28"/>
        </w:rPr>
        <w:lastRenderedPageBreak/>
        <w:t>полученный доход подлежит исключению при расчете тарифов на следующий плановый период (2022 год).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Из 32 действующих предельных тарифов региональных операторов по субъектам ЦФО стоимость 1 кубического метра в сфере обращения с ТКО складывается в диапазоне от 436,35 р. (Орловская область) до 949,56 руб. (Московская область).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Во Владимирской области предельный тариф по зоне № 3 - 563,85 руб/м</w:t>
      </w:r>
      <w:r w:rsidR="006F62EB" w:rsidRPr="006F62E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107E">
        <w:rPr>
          <w:rFonts w:ascii="Times New Roman" w:hAnsi="Times New Roman" w:cs="Times New Roman"/>
          <w:sz w:val="28"/>
          <w:szCs w:val="28"/>
        </w:rPr>
        <w:t>. на 10 позиции в ЦФО из 32, по зоне № 2 - 540,82 руб/м</w:t>
      </w:r>
      <w:r w:rsidR="006F62EB" w:rsidRPr="006F62E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107E">
        <w:rPr>
          <w:rFonts w:ascii="Times New Roman" w:hAnsi="Times New Roman" w:cs="Times New Roman"/>
          <w:sz w:val="28"/>
          <w:szCs w:val="28"/>
        </w:rPr>
        <w:t xml:space="preserve"> на 16 позиции, по зоне № 1 - 482,46 руб/м</w:t>
      </w:r>
      <w:r w:rsidR="003C3F4D" w:rsidRPr="003C3F4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107E">
        <w:rPr>
          <w:rFonts w:ascii="Times New Roman" w:hAnsi="Times New Roman" w:cs="Times New Roman"/>
          <w:sz w:val="28"/>
          <w:szCs w:val="28"/>
        </w:rPr>
        <w:t xml:space="preserve"> на 27 позиции из 32 имеющихся (информация о предельных единых тарифах, нормативах потребления ТКО и плате граждан прилагается).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Региональные операторы в расчетах с потребителями могут применять тариф ниже предельного, о чем они уведомлены письмом департамента. Указанное решение принимается хозяйствующим субъектом самостоятельно. Вмешательство органа исполнительной власти в его деятельность может рассматриваться нарушением Федерального закона от 26.07.2006 №135-Ф3 «О защите конкуренции».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Одним из механизмов снижения платежа за услугу в сфере обращения с ТКО можно рассматривать раздельный сбор мусора. При раздельном накоплении сортированных отходов Правилами предусмотрено, что при расчете платы за услугу учитывается объем контейнеров, вывезенных с места (площадки) накопления ТКО, а значит фактический объем накопленного мусора.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Именно переход на раздельный сбор ТКО в масштабах всей страны является первостепенной задачей, запущенной «мусорной реформы», обозначенной Президентом Российской Федерации 15.01.2020 в послании Федеральному собранию Российской Федерации. В течение 2020 года будет разработан план мероприятий («дорожная карта</w:t>
      </w:r>
      <w:r w:rsidR="003C3F4D">
        <w:rPr>
          <w:rFonts w:ascii="Times New Roman" w:hAnsi="Times New Roman" w:cs="Times New Roman"/>
          <w:sz w:val="28"/>
          <w:szCs w:val="28"/>
        </w:rPr>
        <w:t>»</w:t>
      </w:r>
      <w:r w:rsidRPr="0032107E">
        <w:rPr>
          <w:rFonts w:ascii="Times New Roman" w:hAnsi="Times New Roman" w:cs="Times New Roman"/>
          <w:sz w:val="28"/>
          <w:szCs w:val="28"/>
        </w:rPr>
        <w:t>) по введению раздельного сбора ТКО. Кроме того, обязанность региональных операторов осуществлять раздельный сбор ТКО предусмотрена Соглашениями, заключенными Владимирской областью.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Необходимо отметить, что доступность коммунальной услуги в сфере обращения с ТКО для жителей Владимирской области будет обеспечиваться через оказание мер социальной поддержки населения.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В связи с запуском новой системы обращения с ТКО на 2020 год предусмотрены дополнительные расходы областного бюджета в размере 89,6 млн.руб. (+ 9% к уровню 2019 года) на выплаты жилищных субсидий гражданам, чьи расходы на оплату ЖКХ превысят 22% в совокупном доходе семьи, а у одиноко проживающих пенсионеров 18%. Оценочно количество получателей данных субсидий составит 42 898 человек.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Также на выплаты ко</w:t>
      </w:r>
      <w:r w:rsidR="004F779D">
        <w:rPr>
          <w:rFonts w:ascii="Times New Roman" w:hAnsi="Times New Roman" w:cs="Times New Roman"/>
          <w:sz w:val="28"/>
          <w:szCs w:val="28"/>
        </w:rPr>
        <w:t>мпенсаций отдельным категориям гр</w:t>
      </w:r>
      <w:r w:rsidRPr="0032107E">
        <w:rPr>
          <w:rFonts w:ascii="Times New Roman" w:hAnsi="Times New Roman" w:cs="Times New Roman"/>
          <w:sz w:val="28"/>
          <w:szCs w:val="28"/>
        </w:rPr>
        <w:t>аждан дополнительно планируется направить 26 млн. рублей, в том числе многодетным семьям (6079 чел.) - 4,6 млн. руб. в год, ветеранам труда и военной службы (93 825 чел.) - 20 млн. руб. в год. Объем финансирования увеличится на 40,5%.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lastRenderedPageBreak/>
        <w:t>За разъяснениями по интересующим Вас вопросам в области обращения с ТКО, Вы можете обратиться на горячие линии администрации области по компетенции: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по вопросам деятельности региональных операторов, нормативов накопления ТКО - в Департамент природопользования и охраны окружающей среды администрации области по телефону: 8(4922) 32-32-30;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по вопросам начисления платы за коммунальную услугу по обращению с ТКО - в Государственную жилищную инспекцию администрации области по телефонам: 8 (4922)32-60-13, 8-915-757-39-38;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7E">
        <w:rPr>
          <w:rFonts w:ascii="Times New Roman" w:hAnsi="Times New Roman" w:cs="Times New Roman"/>
          <w:sz w:val="28"/>
          <w:szCs w:val="28"/>
        </w:rPr>
        <w:t>по вопросам государственного регулирования тарифов на услуги региональных операторов в области обращения с ТКО - в Департамент цен и тарифов администрации области по телефонам: 8 (4922) 52-98-88, 52-98-86, 77-83-01.</w:t>
      </w:r>
    </w:p>
    <w:p w:rsidR="0032107E" w:rsidRPr="0032107E" w:rsidRDefault="0032107E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4E5" w:rsidRPr="0032107E" w:rsidRDefault="00A744E5" w:rsidP="003210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4E5" w:rsidRPr="0032107E" w:rsidSect="003210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E5" w:rsidRDefault="00A744E5" w:rsidP="005B3EF3">
      <w:pPr>
        <w:spacing w:after="0" w:line="240" w:lineRule="auto"/>
      </w:pPr>
      <w:r>
        <w:separator/>
      </w:r>
    </w:p>
  </w:endnote>
  <w:endnote w:type="continuationSeparator" w:id="1">
    <w:p w:rsidR="00A744E5" w:rsidRDefault="00A744E5" w:rsidP="005B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E5" w:rsidRDefault="00A744E5" w:rsidP="005B3EF3">
      <w:pPr>
        <w:spacing w:after="0" w:line="240" w:lineRule="auto"/>
      </w:pPr>
      <w:r>
        <w:separator/>
      </w:r>
    </w:p>
  </w:footnote>
  <w:footnote w:type="continuationSeparator" w:id="1">
    <w:p w:rsidR="00A744E5" w:rsidRDefault="00A744E5" w:rsidP="005B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17B3"/>
    <w:multiLevelType w:val="multilevel"/>
    <w:tmpl w:val="5D248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07E"/>
    <w:rsid w:val="00074731"/>
    <w:rsid w:val="0032107E"/>
    <w:rsid w:val="003C3F4D"/>
    <w:rsid w:val="003F1DCC"/>
    <w:rsid w:val="004F779D"/>
    <w:rsid w:val="005B3EF3"/>
    <w:rsid w:val="006F62EB"/>
    <w:rsid w:val="00A7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2107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32107E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0pt">
    <w:name w:val="Основной текст + Курсив;Интервал 0 pt"/>
    <w:basedOn w:val="a3"/>
    <w:rsid w:val="0032107E"/>
    <w:rPr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link w:val="70"/>
    <w:rsid w:val="0032107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2107E"/>
    <w:pPr>
      <w:widowControl w:val="0"/>
      <w:shd w:val="clear" w:color="auto" w:fill="FFFFFF"/>
      <w:spacing w:after="60" w:line="341" w:lineRule="exact"/>
      <w:ind w:firstLine="72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footnote text"/>
    <w:basedOn w:val="a"/>
    <w:link w:val="a5"/>
    <w:uiPriority w:val="99"/>
    <w:semiHidden/>
    <w:unhideWhenUsed/>
    <w:rsid w:val="005B3E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3EF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3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3C2C-23C0-4014-A189-F325D34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Бабенкова</dc:creator>
  <cp:keywords/>
  <dc:description/>
  <cp:lastModifiedBy>Бабенкова</cp:lastModifiedBy>
  <cp:revision>2</cp:revision>
  <dcterms:created xsi:type="dcterms:W3CDTF">2020-03-02T11:10:00Z</dcterms:created>
  <dcterms:modified xsi:type="dcterms:W3CDTF">2020-03-02T11:20:00Z</dcterms:modified>
</cp:coreProperties>
</file>